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7433E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7433EB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3F3FD7">
        <w:rPr>
          <w:sz w:val="24"/>
          <w:szCs w:val="24"/>
        </w:rPr>
        <w:t>20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F3FD7">
        <w:rPr>
          <w:sz w:val="24"/>
          <w:szCs w:val="24"/>
        </w:rPr>
        <w:t>1228/8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F3FD7" w:rsidRDefault="006D33F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 xml:space="preserve">«Профилактика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терроризма и экстремизма, гармонизация межнациональных отношений 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38">
              <w:rPr>
                <w:rFonts w:ascii="Times New Roman" w:hAnsi="Times New Roman" w:cs="Times New Roman"/>
                <w:sz w:val="24"/>
                <w:szCs w:val="24"/>
              </w:rPr>
              <w:t>55,101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26938">
              <w:rPr>
                <w:rFonts w:ascii="Times New Roman" w:hAnsi="Times New Roman" w:cs="Times New Roman"/>
                <w:sz w:val="24"/>
                <w:szCs w:val="24"/>
              </w:rPr>
              <w:t>10,101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090A">
              <w:rPr>
                <w:rFonts w:ascii="Times New Roman" w:hAnsi="Times New Roman" w:cs="Times New Roman"/>
                <w:bCs/>
                <w:sz w:val="24"/>
                <w:szCs w:val="24"/>
              </w:rPr>
              <w:t>45,101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C273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26938">
              <w:rPr>
                <w:sz w:val="24"/>
                <w:szCs w:val="24"/>
              </w:rPr>
              <w:t>32,60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26938">
              <w:rPr>
                <w:rFonts w:ascii="Times New Roman" w:hAnsi="Times New Roman" w:cs="Times New Roman"/>
                <w:sz w:val="24"/>
                <w:szCs w:val="24"/>
              </w:rPr>
              <w:t>10,101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A269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A26938">
              <w:rPr>
                <w:sz w:val="24"/>
                <w:szCs w:val="24"/>
              </w:rPr>
              <w:t>22,6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A26938" w:rsidRPr="00C860F4" w:rsidRDefault="00E02C3A" w:rsidP="00A269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A26938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A26938">
        <w:rPr>
          <w:rFonts w:ascii="Times New Roman" w:hAnsi="Times New Roman" w:cs="Times New Roman"/>
          <w:sz w:val="24"/>
          <w:szCs w:val="24"/>
        </w:rPr>
        <w:t xml:space="preserve">55,101 </w:t>
      </w:r>
      <w:r w:rsidR="00A26938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A26938" w:rsidRPr="00C860F4" w:rsidRDefault="00A26938" w:rsidP="00A26938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10,101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A26938" w:rsidRPr="00C860F4" w:rsidRDefault="00A26938" w:rsidP="00A269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26938" w:rsidRPr="00C860F4" w:rsidRDefault="00A26938" w:rsidP="00A269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A26938" w:rsidRPr="00C860F4" w:rsidRDefault="00A26938" w:rsidP="00A269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="0037090A">
        <w:rPr>
          <w:rFonts w:ascii="Times New Roman" w:hAnsi="Times New Roman" w:cs="Times New Roman"/>
          <w:bCs/>
          <w:sz w:val="24"/>
          <w:szCs w:val="24"/>
        </w:rPr>
        <w:t>45</w:t>
      </w:r>
      <w:r>
        <w:rPr>
          <w:rFonts w:ascii="Times New Roman" w:hAnsi="Times New Roman" w:cs="Times New Roman"/>
          <w:bCs/>
          <w:sz w:val="24"/>
          <w:szCs w:val="24"/>
        </w:rPr>
        <w:t xml:space="preserve">,101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B34931" w:rsidRDefault="00A26938" w:rsidP="00A269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454468" w:rsidRDefault="00B34931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27</cp:revision>
  <cp:lastPrinted>2017-11-10T02:15:00Z</cp:lastPrinted>
  <dcterms:created xsi:type="dcterms:W3CDTF">2017-11-08T05:54:00Z</dcterms:created>
  <dcterms:modified xsi:type="dcterms:W3CDTF">2019-05-14T05:21:00Z</dcterms:modified>
</cp:coreProperties>
</file>