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0" w:rsidRPr="00F10287" w:rsidRDefault="00AB3510" w:rsidP="00AB35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287">
        <w:rPr>
          <w:rFonts w:ascii="Times New Roman" w:hAnsi="Times New Roman" w:cs="Times New Roman"/>
          <w:b/>
          <w:sz w:val="26"/>
          <w:szCs w:val="26"/>
        </w:rPr>
        <w:t>С 2017 года изменились ставки по налогу на прибыль организаций</w:t>
      </w:r>
    </w:p>
    <w:p w:rsidR="00AB3510" w:rsidRPr="00F10287" w:rsidRDefault="00AB3510" w:rsidP="00AB35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3510" w:rsidRPr="00F10287" w:rsidRDefault="00AB3510" w:rsidP="00AB35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 xml:space="preserve">С 1 января 2017 года по 31 декабря 2020 года распределять налог на прибыль организаций между бюджетами нужно по новым ставкам: </w:t>
      </w:r>
    </w:p>
    <w:p w:rsidR="00AB3510" w:rsidRPr="00F10287" w:rsidRDefault="00AB3510" w:rsidP="00AB35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 xml:space="preserve">        - 3% зачисляются в федеральный бюджет;</w:t>
      </w:r>
    </w:p>
    <w:p w:rsidR="00AB3510" w:rsidRPr="00F10287" w:rsidRDefault="00AB3510" w:rsidP="00AB35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 xml:space="preserve">        - 17% зачисляются в региональный бюджет. </w:t>
      </w:r>
    </w:p>
    <w:p w:rsidR="00AB3510" w:rsidRPr="00F10287" w:rsidRDefault="00AB3510" w:rsidP="00AB35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>При этом общая ставка налога на прибыль осталась прежней - 20%.</w:t>
      </w:r>
    </w:p>
    <w:p w:rsidR="00AB3510" w:rsidRPr="00F10287" w:rsidRDefault="00AB3510" w:rsidP="00AB35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 xml:space="preserve">Соответствующие изменения в п. 1 ст. 284 Налогового кодекса Российской Федерации внесены Федеральным законом от 30.11.2016 № 401-ФЗ. </w:t>
      </w:r>
    </w:p>
    <w:p w:rsidR="00AB3510" w:rsidRPr="00F10287" w:rsidRDefault="00AB3510" w:rsidP="00AB35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 xml:space="preserve">В 2017 году налогоплательщики вправе уменьшить сумму убытков, полученных в предыдущих налоговых периодах, не более чем на 50 процентов. Такие правила будут действовать в 2017-2020 годах. </w:t>
      </w:r>
    </w:p>
    <w:p w:rsidR="00AB3510" w:rsidRPr="00F10287" w:rsidRDefault="00AB3510" w:rsidP="00AB35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>Кроме того, снято ограничение по переносу налогоплательщиками убытка на будущее в течение 10 лет, следующих за тем налоговым периодом, в 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10287">
        <w:rPr>
          <w:rFonts w:ascii="Times New Roman" w:hAnsi="Times New Roman" w:cs="Times New Roman"/>
          <w:sz w:val="26"/>
          <w:szCs w:val="26"/>
        </w:rPr>
        <w:t xml:space="preserve">тором получен этот убыток. </w:t>
      </w:r>
    </w:p>
    <w:p w:rsidR="00AB3510" w:rsidRPr="00F10287" w:rsidRDefault="00AB3510" w:rsidP="00AB35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 xml:space="preserve">Данные положения применяются в отношении убытков, полученных налогоплательщиками за налоговые периоды, начинающиеся с 1 января 2007 г. </w:t>
      </w:r>
    </w:p>
    <w:p w:rsidR="00AB3510" w:rsidRPr="0084180A" w:rsidRDefault="00AB3510" w:rsidP="00AB35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87">
        <w:rPr>
          <w:rFonts w:ascii="Times New Roman" w:hAnsi="Times New Roman" w:cs="Times New Roman"/>
          <w:sz w:val="26"/>
          <w:szCs w:val="26"/>
        </w:rPr>
        <w:t>Обращаем Ваше внимание, что налоговая декларация по налогу на прибыль организаций за 1 квартал 2017 года формируется с учетом названных выше изменений.  Форма налоговой декларации, а также порядок ее заполнения утверждены приказом ФНС России от 19.10.2016 № ММВ-7-3/572@.</w:t>
      </w:r>
    </w:p>
    <w:p w:rsidR="0037325F" w:rsidRDefault="0037325F">
      <w:bookmarkStart w:id="0" w:name="_GoBack"/>
      <w:bookmarkEnd w:id="0"/>
    </w:p>
    <w:sectPr w:rsidR="003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0"/>
    <w:rsid w:val="0037325F"/>
    <w:rsid w:val="00A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2017-04-13T02:29:00Z</dcterms:created>
  <dcterms:modified xsi:type="dcterms:W3CDTF">2017-04-13T02:30:00Z</dcterms:modified>
</cp:coreProperties>
</file>