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4F1799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F1799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E20CE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«28»  сентября </w:t>
      </w:r>
      <w:r w:rsidR="0072700C">
        <w:rPr>
          <w:sz w:val="24"/>
          <w:szCs w:val="24"/>
        </w:rPr>
        <w:t>2018 год №</w:t>
      </w:r>
      <w:r w:rsidR="001C0A71">
        <w:rPr>
          <w:sz w:val="24"/>
          <w:szCs w:val="24"/>
        </w:rPr>
        <w:t>1047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1C0A71" w:rsidRPr="0072700C" w:rsidRDefault="001C0A71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1C0A71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разрешения на строительство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1C0A71">
        <w:rPr>
          <w:sz w:val="24"/>
          <w:szCs w:val="24"/>
        </w:rPr>
        <w:t>29.03.2016 №84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1C0A71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1C0A71" w:rsidRPr="001C0A71" w:rsidRDefault="00FD6C7B" w:rsidP="001C0A71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1C0A71">
        <w:rPr>
          <w:rFonts w:ascii="Times New Roman" w:hAnsi="Times New Roman" w:cs="Times New Roman"/>
          <w:b w:val="0"/>
          <w:sz w:val="24"/>
          <w:szCs w:val="24"/>
        </w:rPr>
        <w:t xml:space="preserve">Продление срока действия разрешения на </w:t>
      </w:r>
      <w:proofErr w:type="spellStart"/>
      <w:r w:rsidR="001C0A71">
        <w:rPr>
          <w:rFonts w:ascii="Times New Roman" w:hAnsi="Times New Roman" w:cs="Times New Roman"/>
          <w:b w:val="0"/>
          <w:sz w:val="24"/>
          <w:szCs w:val="24"/>
        </w:rPr>
        <w:t>строительтсво</w:t>
      </w:r>
      <w:proofErr w:type="spellEnd"/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>утвержденный пос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>тановлением Главы Администрации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0A71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 от 29.03.2016 № 84</w:t>
      </w:r>
      <w:r w:rsidR="004B7C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7CEE" w:rsidRPr="002F0B0C" w:rsidRDefault="004B7CEE" w:rsidP="00233C62">
      <w:pPr>
        <w:pStyle w:val="ConsPlusTitle"/>
        <w:widowControl/>
        <w:numPr>
          <w:ilvl w:val="0"/>
          <w:numId w:val="5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12</w:t>
      </w:r>
      <w:r w:rsidR="00FD6C7B" w:rsidRPr="004B7CE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4B7CEE" w:rsidRPr="004B7CEE" w:rsidRDefault="004B7CEE" w:rsidP="004B7CE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правоустанавливающего документа на земельный участок в случае, указанном в </w:t>
      </w:r>
      <w:hyperlink r:id="rId7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части 21.13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статьи</w:t>
      </w:r>
      <w:r w:rsidRPr="004B7CEE">
        <w:t xml:space="preserve"> </w:t>
      </w:r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ст. 51, "Градостроительный кодекс Российской Федерации" от 29.12.2004 N 190-ФЗ (ред. от 03.08.2018), либо отсутствие документов, предусмотренных </w:t>
      </w:r>
      <w:hyperlink r:id="rId8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настоящей статьи, в случае поступления заявления о внесении</w:t>
      </w:r>
      <w:proofErr w:type="gramEnd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B7CEE" w:rsidRDefault="004B7CEE" w:rsidP="004B7CEE">
      <w:pPr>
        <w:pStyle w:val="ConsPlusNormal"/>
        <w:ind w:firstLine="360"/>
        <w:jc w:val="both"/>
      </w:pPr>
      <w:r w:rsidRPr="004B7CEE"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9" w:history="1">
        <w:r w:rsidRPr="004B7CEE">
          <w:rPr>
            <w:rStyle w:val="a8"/>
          </w:rPr>
          <w:t>частью 21.7</w:t>
        </w:r>
      </w:hyperlink>
      <w:r>
        <w:t xml:space="preserve">статьей </w:t>
      </w:r>
      <w:r w:rsidRPr="004B7CEE">
        <w:t xml:space="preserve">ст. 51, "Градостроительный кодекс Российской Федерации" от 29.12.2004 N 190-ФЗ (ред. от 03.08.2018).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0" w:history="1">
        <w:r w:rsidRPr="004B7CEE">
          <w:rPr>
            <w:rStyle w:val="a8"/>
          </w:rPr>
          <w:t>части 21.10</w:t>
        </w:r>
      </w:hyperlink>
      <w:r w:rsidRPr="004B7CEE">
        <w:t xml:space="preserve"> статьи ст. 51, </w:t>
      </w:r>
      <w:r w:rsidRPr="004B7CEE">
        <w:lastRenderedPageBreak/>
        <w:t>"Градостроительный кодекс Российской Федерации" от 29.12.2004 N 190-ФЗ (ред. от 03.08.2018);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B7CEE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1" w:history="1">
        <w:r w:rsidRPr="004B7CEE">
          <w:rPr>
            <w:rStyle w:val="a8"/>
          </w:rPr>
          <w:t>частью 21.7</w:t>
        </w:r>
      </w:hyperlink>
      <w:r w:rsidR="00E85E6A">
        <w:t xml:space="preserve"> </w:t>
      </w:r>
      <w:r w:rsidRPr="004B7CEE">
        <w:t xml:space="preserve"> статьи</w:t>
      </w:r>
      <w:r w:rsidR="00E85E6A" w:rsidRPr="00E85E6A">
        <w:t xml:space="preserve"> ст. 51, "Градостроительный кодекс Российской Федерации" от 29.12.2004 N 190-ФЗ (ред. от 03.08.2018)</w:t>
      </w:r>
      <w:r w:rsidRPr="004B7CEE">
        <w:t>, или в случае поступления заявления</w:t>
      </w:r>
      <w:proofErr w:type="gramEnd"/>
      <w:r w:rsidRPr="004B7CEE">
        <w:t xml:space="preserve">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r w:rsidRPr="004B7CE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85E6A" w:rsidRDefault="004B7CEE" w:rsidP="00E85E6A">
      <w:pPr>
        <w:pStyle w:val="ConsPlusNormal"/>
        <w:ind w:firstLine="360"/>
        <w:jc w:val="both"/>
      </w:pPr>
      <w:proofErr w:type="gramStart"/>
      <w:r w:rsidRPr="004B7CEE"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B7CEE">
        <w:t>Росатом</w:t>
      </w:r>
      <w:proofErr w:type="spellEnd"/>
      <w:r w:rsidRPr="004B7CEE">
        <w:t>" или Государственной корпорации по космической деятельности "</w:t>
      </w:r>
      <w:proofErr w:type="spellStart"/>
      <w:r w:rsidRPr="004B7CEE">
        <w:t>Роскосмос</w:t>
      </w:r>
      <w:proofErr w:type="spellEnd"/>
      <w:r w:rsidRPr="004B7CEE"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B7CEE">
        <w:t xml:space="preserve"> </w:t>
      </w:r>
      <w:proofErr w:type="gramStart"/>
      <w:r w:rsidRPr="004B7CEE"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2" w:history="1">
        <w:r w:rsidRPr="004B7CEE">
          <w:rPr>
            <w:rStyle w:val="a8"/>
          </w:rPr>
          <w:t>части 5 статьи 52</w:t>
        </w:r>
      </w:hyperlink>
      <w:r w:rsidRPr="004B7CEE">
        <w:t xml:space="preserve">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4B7CEE">
        <w:t xml:space="preserve"> на строительство;</w:t>
      </w:r>
    </w:p>
    <w:p w:rsidR="001C0A71" w:rsidRPr="004B7CEE" w:rsidRDefault="004B7CEE" w:rsidP="001C0A71">
      <w:pPr>
        <w:pStyle w:val="ConsPlusNormal"/>
        <w:ind w:firstLine="360"/>
        <w:jc w:val="both"/>
      </w:pPr>
      <w:r w:rsidRPr="004B7CEE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74F7C" w:rsidRDefault="0072700C" w:rsidP="001C0A71">
      <w:pPr>
        <w:pStyle w:val="a3"/>
        <w:numPr>
          <w:ilvl w:val="0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C0A71" w:rsidRDefault="0072700C" w:rsidP="001C0A71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1C0A71" w:rsidRDefault="001C0A71" w:rsidP="0072700C">
      <w:pPr>
        <w:spacing w:after="0"/>
        <w:rPr>
          <w:rFonts w:ascii="Times New Roman" w:hAnsi="Times New Roman"/>
          <w:sz w:val="24"/>
          <w:szCs w:val="24"/>
        </w:rPr>
      </w:pPr>
    </w:p>
    <w:p w:rsidR="00B7409C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72700C" w:rsidRPr="00E246D4" w:rsidRDefault="00B7409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72700C">
        <w:rPr>
          <w:rFonts w:ascii="Times New Roman" w:hAnsi="Times New Roman"/>
          <w:sz w:val="24"/>
          <w:szCs w:val="24"/>
        </w:rPr>
        <w:t xml:space="preserve"> </w:t>
      </w:r>
      <w:r w:rsidR="0072700C"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 w:rsidR="00B7409C">
        <w:rPr>
          <w:rFonts w:ascii="Times New Roman" w:hAnsi="Times New Roman"/>
          <w:sz w:val="24"/>
          <w:szCs w:val="24"/>
        </w:rPr>
        <w:t>ь-Коксинский район» РА</w:t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</w:r>
      <w:r w:rsidR="00B7409C">
        <w:rPr>
          <w:rFonts w:ascii="Times New Roman" w:hAnsi="Times New Roman"/>
          <w:sz w:val="24"/>
          <w:szCs w:val="24"/>
        </w:rPr>
        <w:tab/>
        <w:t xml:space="preserve">О. М. Абросимова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67FC8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46425"/>
    <w:multiLevelType w:val="hybridMultilevel"/>
    <w:tmpl w:val="8DBE3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174F7C"/>
    <w:rsid w:val="001C0A71"/>
    <w:rsid w:val="0020356F"/>
    <w:rsid w:val="00233C62"/>
    <w:rsid w:val="00255A3F"/>
    <w:rsid w:val="00271A34"/>
    <w:rsid w:val="002A4585"/>
    <w:rsid w:val="002E0B75"/>
    <w:rsid w:val="00442E4A"/>
    <w:rsid w:val="004B7CEE"/>
    <w:rsid w:val="004C1BDF"/>
    <w:rsid w:val="004F1799"/>
    <w:rsid w:val="004F6D95"/>
    <w:rsid w:val="0054616A"/>
    <w:rsid w:val="005810A0"/>
    <w:rsid w:val="00600B0E"/>
    <w:rsid w:val="00635B42"/>
    <w:rsid w:val="006536DC"/>
    <w:rsid w:val="00696815"/>
    <w:rsid w:val="0071231F"/>
    <w:rsid w:val="0072700C"/>
    <w:rsid w:val="00735A6D"/>
    <w:rsid w:val="007F6344"/>
    <w:rsid w:val="00890C3D"/>
    <w:rsid w:val="00921BD9"/>
    <w:rsid w:val="00935340"/>
    <w:rsid w:val="009633CD"/>
    <w:rsid w:val="00A94C02"/>
    <w:rsid w:val="00B7409C"/>
    <w:rsid w:val="00B800BD"/>
    <w:rsid w:val="00B841BC"/>
    <w:rsid w:val="00B92723"/>
    <w:rsid w:val="00BE334B"/>
    <w:rsid w:val="00C63B44"/>
    <w:rsid w:val="00C93BF0"/>
    <w:rsid w:val="00D93C2B"/>
    <w:rsid w:val="00E20CE2"/>
    <w:rsid w:val="00E85E6A"/>
    <w:rsid w:val="00EF391F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9A49B587E470FF765B980142546ECC673B25F03349D7F8049310BC82779E7D2FC8EA0693tBq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379A49B587E470FF765B980142546ECC673B25F03349D7F8049310BC82779E7D2FC8EB06t9q2M" TargetMode="External"/><Relationship Id="rId12" Type="http://schemas.openxmlformats.org/officeDocument/2006/relationships/hyperlink" Target="consultantplus://offline/ref=31379A49B587E470FF765B980142546ECC673B25F03349D7F8049310BC82779E7D2FC8EA0592tBq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1379A49B587E470FF765B980142546ECC673B25F03349D7F8049310BC82779E7D2FC8EB07t9q2M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1379A49B587E470FF765B980142546ECC673B25F03349D7F8049310BC82779E7D2FC8EA0696tB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9A49B587E470FF765B980142546ECC673B25F03349D7F8049310BC82779E7D2FC8EB07t9q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325E7-1A41-4813-95AB-DE0DD93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2018-10-14T13:23:00Z</cp:lastPrinted>
  <dcterms:created xsi:type="dcterms:W3CDTF">2018-02-19T07:28:00Z</dcterms:created>
  <dcterms:modified xsi:type="dcterms:W3CDTF">2018-10-14T13:24:00Z</dcterms:modified>
</cp:coreProperties>
</file>